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pacing w:line="360" w:lineRule="auto"/>
        <w:rPr>
          <w:rFonts w:hint="eastAsia" w:ascii="方正仿宋_GBK" w:hAnsi="方正仿宋_GBK" w:eastAsia="方正仿宋_GBK" w:cs="方正仿宋_GBK"/>
          <w:color w:val="000000"/>
          <w:sz w:val="52"/>
          <w:szCs w:val="52"/>
          <w:lang w:eastAsia="zh-CN"/>
        </w:rPr>
      </w:pPr>
    </w:p>
    <w:p>
      <w:pPr>
        <w:pStyle w:val="10"/>
        <w:widowControl/>
        <w:spacing w:line="360" w:lineRule="auto"/>
        <w:rPr>
          <w:rFonts w:hint="eastAsia" w:ascii="方正小标宋_GBK" w:hAnsi="方正小标宋_GBK" w:eastAsia="方正小标宋_GBK" w:cs="方正小标宋_GBK"/>
          <w:color w:val="000000"/>
          <w:sz w:val="48"/>
          <w:szCs w:val="48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8"/>
          <w:szCs w:val="48"/>
          <w:lang w:eastAsia="zh-CN"/>
        </w:rPr>
        <w:t>龙门浩老街拓展区项目</w:t>
      </w:r>
    </w:p>
    <w:p>
      <w:pPr>
        <w:pStyle w:val="10"/>
        <w:widowControl/>
        <w:spacing w:line="360" w:lineRule="auto"/>
        <w:rPr>
          <w:rFonts w:hint="eastAsia" w:ascii="方正小标宋_GBK" w:hAnsi="方正小标宋_GBK" w:eastAsia="方正小标宋_GBK" w:cs="方正小标宋_GBK"/>
          <w:color w:val="000000"/>
          <w:sz w:val="48"/>
          <w:szCs w:val="48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8"/>
          <w:szCs w:val="48"/>
          <w:lang w:eastAsia="zh-CN"/>
        </w:rPr>
        <w:t>房屋</w:t>
      </w:r>
      <w:r>
        <w:rPr>
          <w:rFonts w:hint="eastAsia" w:ascii="方正小标宋_GBK" w:hAnsi="方正小标宋_GBK" w:eastAsia="方正小标宋_GBK" w:cs="方正小标宋_GBK"/>
          <w:color w:val="000000"/>
          <w:sz w:val="48"/>
          <w:szCs w:val="48"/>
          <w:lang w:val="en-US" w:eastAsia="zh-CN"/>
        </w:rPr>
        <w:t>施工质量</w:t>
      </w:r>
      <w:r>
        <w:rPr>
          <w:rFonts w:hint="eastAsia" w:ascii="方正小标宋_GBK" w:hAnsi="方正小标宋_GBK" w:eastAsia="方正小标宋_GBK" w:cs="方正小标宋_GBK"/>
          <w:color w:val="000000"/>
          <w:sz w:val="48"/>
          <w:szCs w:val="48"/>
          <w:lang w:eastAsia="zh-CN"/>
        </w:rPr>
        <w:t>安全性鉴定</w:t>
      </w:r>
    </w:p>
    <w:p>
      <w:pPr>
        <w:pStyle w:val="10"/>
        <w:widowControl/>
        <w:spacing w:line="360" w:lineRule="auto"/>
        <w:rPr>
          <w:rFonts w:hint="eastAsia" w:ascii="方正仿宋_GBK" w:hAnsi="方正仿宋_GBK" w:eastAsia="方正仿宋_GBK" w:cs="方正仿宋_GBK"/>
          <w:color w:val="000000"/>
          <w:sz w:val="44"/>
          <w:szCs w:val="44"/>
          <w:lang w:eastAsia="zh-CN"/>
        </w:rPr>
      </w:pPr>
    </w:p>
    <w:p>
      <w:pPr>
        <w:spacing w:line="240" w:lineRule="exact"/>
        <w:jc w:val="both"/>
        <w:rPr>
          <w:rFonts w:hint="eastAsia" w:ascii="方正仿宋_GBK" w:hAnsi="方正仿宋_GBK" w:eastAsia="方正仿宋_GBK" w:cs="方正仿宋_GBK"/>
          <w:b/>
          <w:sz w:val="72"/>
          <w:szCs w:val="72"/>
        </w:rPr>
      </w:pPr>
    </w:p>
    <w:p>
      <w:pPr>
        <w:spacing w:line="240" w:lineRule="exact"/>
        <w:jc w:val="center"/>
        <w:rPr>
          <w:rFonts w:hint="eastAsia" w:ascii="方正仿宋_GBK" w:hAnsi="方正仿宋_GBK" w:eastAsia="方正仿宋_GBK" w:cs="方正仿宋_GBK"/>
          <w:b/>
          <w:sz w:val="72"/>
          <w:szCs w:val="72"/>
        </w:rPr>
      </w:pPr>
    </w:p>
    <w:p>
      <w:pPr>
        <w:spacing w:line="360" w:lineRule="auto"/>
        <w:jc w:val="center"/>
        <w:rPr>
          <w:rFonts w:hint="eastAsia" w:ascii="方正仿宋_GBK" w:hAnsi="方正仿宋_GBK" w:eastAsia="方正仿宋_GBK" w:cs="方正仿宋_GBK"/>
          <w:b/>
          <w:sz w:val="72"/>
          <w:szCs w:val="72"/>
        </w:rPr>
      </w:pP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kern w:val="2"/>
          <w:sz w:val="72"/>
          <w:szCs w:val="7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2"/>
          <w:sz w:val="72"/>
          <w:szCs w:val="72"/>
          <w:lang w:val="en-US" w:eastAsia="zh-CN" w:bidi="ar-SA"/>
        </w:rPr>
        <w:t>竞争性比选文件</w:t>
      </w:r>
    </w:p>
    <w:p>
      <w:pPr>
        <w:rPr>
          <w:rFonts w:hint="eastAsia" w:ascii="方正仿宋_GBK" w:hAnsi="方正仿宋_GBK" w:eastAsia="方正仿宋_GBK" w:cs="方正仿宋_GBK"/>
        </w:rPr>
      </w:pPr>
    </w:p>
    <w:p>
      <w:pPr>
        <w:spacing w:line="360" w:lineRule="auto"/>
        <w:jc w:val="center"/>
        <w:rPr>
          <w:rFonts w:hint="eastAsia" w:ascii="方正仿宋_GBK" w:hAnsi="方正仿宋_GBK" w:eastAsia="方正仿宋_GBK" w:cs="方正仿宋_GBK"/>
          <w:sz w:val="44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44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360" w:lineRule="auto"/>
        <w:ind w:firstLine="1440" w:firstLineChars="400"/>
        <w:jc w:val="left"/>
        <w:rPr>
          <w:rFonts w:hint="eastAsia" w:ascii="方正黑体_GBK" w:hAnsi="方正黑体_GBK" w:eastAsia="方正黑体_GBK" w:cs="方正黑体_GBK"/>
          <w:b w:val="0"/>
          <w:bCs/>
          <w:sz w:val="36"/>
          <w:szCs w:val="36"/>
          <w:u w:val="single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6"/>
          <w:szCs w:val="36"/>
          <w:lang w:eastAsia="zh-CN"/>
        </w:rPr>
        <w:t>比选人：</w:t>
      </w:r>
      <w:r>
        <w:rPr>
          <w:rFonts w:hint="eastAsia" w:ascii="方正黑体_GBK" w:hAnsi="方正黑体_GBK" w:eastAsia="方正黑体_GBK" w:cs="方正黑体_GBK"/>
          <w:b w:val="0"/>
          <w:bCs/>
          <w:sz w:val="36"/>
          <w:szCs w:val="36"/>
          <w:u w:val="single"/>
          <w:lang w:eastAsia="zh-CN"/>
        </w:rPr>
        <w:t>重庆南岸滨江路开发建设有限公司</w:t>
      </w:r>
    </w:p>
    <w:p>
      <w:pPr>
        <w:spacing w:line="360" w:lineRule="auto"/>
        <w:ind w:firstLine="1440" w:firstLineChars="400"/>
        <w:jc w:val="left"/>
        <w:rPr>
          <w:rFonts w:hint="eastAsia" w:ascii="方正黑体_GBK" w:hAnsi="方正黑体_GBK" w:eastAsia="方正黑体_GBK" w:cs="方正黑体_GBK"/>
          <w:b w:val="0"/>
          <w:bCs/>
          <w:sz w:val="36"/>
          <w:szCs w:val="36"/>
          <w:u w:val="single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6"/>
          <w:szCs w:val="36"/>
          <w:lang w:val="en-US" w:eastAsia="zh-CN"/>
        </w:rPr>
        <w:t>比选</w:t>
      </w:r>
      <w:r>
        <w:rPr>
          <w:rFonts w:hint="eastAsia" w:ascii="方正黑体_GBK" w:hAnsi="方正黑体_GBK" w:eastAsia="方正黑体_GBK" w:cs="方正黑体_GBK"/>
          <w:b w:val="0"/>
          <w:bCs/>
          <w:sz w:val="36"/>
          <w:szCs w:val="36"/>
          <w:lang w:eastAsia="zh-CN"/>
        </w:rPr>
        <w:t>代理人：</w:t>
      </w:r>
      <w:r>
        <w:rPr>
          <w:rFonts w:hint="eastAsia" w:ascii="方正黑体_GBK" w:hAnsi="方正黑体_GBK" w:eastAsia="方正黑体_GBK" w:cs="方正黑体_GBK"/>
          <w:b w:val="0"/>
          <w:bCs/>
          <w:sz w:val="36"/>
          <w:szCs w:val="36"/>
          <w:u w:val="single"/>
          <w:lang w:eastAsia="zh-CN"/>
        </w:rPr>
        <w:t>重庆市建筑科学研究院有限公司</w:t>
      </w:r>
    </w:p>
    <w:p>
      <w:pPr>
        <w:spacing w:line="360" w:lineRule="auto"/>
        <w:jc w:val="center"/>
        <w:rPr>
          <w:rFonts w:hint="default" w:ascii="Times New Roman" w:hAnsi="Times New Roman" w:eastAsia="方正仿宋_GBK" w:cs="Times New Roman"/>
          <w:b/>
          <w:sz w:val="36"/>
          <w:szCs w:val="36"/>
          <w:lang w:val="en-US" w:eastAsia="zh-CN"/>
        </w:rPr>
      </w:pPr>
    </w:p>
    <w:p>
      <w:pPr>
        <w:spacing w:line="360" w:lineRule="auto"/>
        <w:jc w:val="center"/>
        <w:rPr>
          <w:rFonts w:hint="default" w:ascii="Times New Roman" w:hAnsi="Times New Roman" w:eastAsia="方正仿宋_GBK" w:cs="Times New Roman"/>
          <w:b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b/>
          <w:sz w:val="36"/>
          <w:szCs w:val="36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b/>
          <w:sz w:val="36"/>
          <w:szCs w:val="36"/>
        </w:rPr>
        <w:t>年</w:t>
      </w:r>
      <w:r>
        <w:rPr>
          <w:rFonts w:hint="default" w:ascii="Times New Roman" w:hAnsi="Times New Roman" w:eastAsia="方正仿宋_GBK" w:cs="Times New Roman"/>
          <w:b/>
          <w:sz w:val="36"/>
          <w:szCs w:val="36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/>
          <w:sz w:val="36"/>
          <w:szCs w:val="36"/>
        </w:rPr>
        <w:t>月</w:t>
      </w:r>
    </w:p>
    <w:p>
      <w:pPr>
        <w:pStyle w:val="2"/>
        <w:rPr>
          <w:rFonts w:hint="default" w:ascii="Times New Roman" w:hAnsi="Times New Roman" w:eastAsia="方正仿宋_GBK" w:cs="Times New Roman"/>
          <w:b/>
          <w:sz w:val="36"/>
          <w:szCs w:val="36"/>
        </w:rPr>
      </w:pPr>
    </w:p>
    <w:p>
      <w:pPr>
        <w:rPr>
          <w:rFonts w:hint="default"/>
        </w:rPr>
      </w:pP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jc w:val="center"/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lang w:val="en-US" w:eastAsia="zh-CN"/>
        </w:rPr>
      </w:pPr>
      <w:bookmarkStart w:id="0" w:name="_Toc23769"/>
      <w:bookmarkStart w:id="1" w:name="_Toc18164"/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</w:rPr>
        <w:t xml:space="preserve"> 竞争性比选</w:t>
      </w:r>
      <w:bookmarkEnd w:id="0"/>
      <w:bookmarkEnd w:id="1"/>
      <w:r>
        <w:rPr>
          <w:rFonts w:hint="eastAsia" w:ascii="方正黑体_GBK" w:hAnsi="方正黑体_GBK" w:eastAsia="方正黑体_GBK" w:cs="方正黑体_GBK"/>
          <w:b w:val="0"/>
          <w:bCs/>
          <w:color w:val="auto"/>
          <w:sz w:val="32"/>
          <w:szCs w:val="32"/>
          <w:highlight w:val="none"/>
          <w:lang w:val="en-US" w:eastAsia="zh-CN"/>
        </w:rPr>
        <w:t>公告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u w:val="none"/>
          <w:lang w:eastAsia="zh-CN"/>
        </w:rPr>
        <w:t>龙门浩老街拓展区项目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已由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重庆市南岸区发展和改革委员会以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eastAsia="zh-CN"/>
        </w:rPr>
        <w:t>南岸发改【2020】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303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eastAsia="zh-CN"/>
        </w:rPr>
        <w:t>号批准建设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，建</w:t>
      </w:r>
      <w:r>
        <w:rPr>
          <w:rFonts w:hint="default" w:ascii="Times New Roman" w:hAnsi="Times New Roman" w:eastAsia="方正仿宋_GBK" w:cs="Times New Roman"/>
          <w:spacing w:val="-3"/>
          <w:sz w:val="28"/>
          <w:szCs w:val="28"/>
          <w:lang w:eastAsia="zh-CN"/>
        </w:rPr>
        <w:t>设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资</w:t>
      </w:r>
      <w:r>
        <w:rPr>
          <w:rFonts w:hint="default" w:ascii="Times New Roman" w:hAnsi="Times New Roman" w:eastAsia="方正仿宋_GBK" w:cs="Times New Roman"/>
          <w:spacing w:val="-3"/>
          <w:sz w:val="28"/>
          <w:szCs w:val="28"/>
          <w:lang w:eastAsia="zh-CN"/>
        </w:rPr>
        <w:t>金为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eastAsia="zh-CN"/>
        </w:rPr>
        <w:t>南岸区专项债券和业主自筹</w:t>
      </w:r>
      <w:r>
        <w:rPr>
          <w:rFonts w:hint="default" w:ascii="Times New Roman" w:hAnsi="Times New Roman" w:eastAsia="方正仿宋_GBK" w:cs="Times New Roman"/>
          <w:spacing w:val="-3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资</w:t>
      </w:r>
      <w:r>
        <w:rPr>
          <w:rFonts w:hint="default" w:ascii="Times New Roman" w:hAnsi="Times New Roman" w:eastAsia="方正仿宋_GBK" w:cs="Times New Roman"/>
          <w:spacing w:val="-3"/>
          <w:sz w:val="28"/>
          <w:szCs w:val="28"/>
          <w:lang w:eastAsia="zh-CN"/>
        </w:rPr>
        <w:t>金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来源</w:t>
      </w:r>
      <w:r>
        <w:rPr>
          <w:rFonts w:hint="default" w:ascii="Times New Roman" w:hAnsi="Times New Roman" w:eastAsia="方正仿宋_GBK" w:cs="Times New Roman"/>
          <w:spacing w:val="-108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pacing w:val="-2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出</w:t>
      </w:r>
      <w:r>
        <w:rPr>
          <w:rFonts w:hint="default" w:ascii="Times New Roman" w:hAnsi="Times New Roman" w:eastAsia="方正仿宋_GBK" w:cs="Times New Roman"/>
          <w:spacing w:val="-3"/>
          <w:sz w:val="28"/>
          <w:szCs w:val="28"/>
          <w:lang w:eastAsia="zh-CN"/>
        </w:rPr>
        <w:t>资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比</w:t>
      </w:r>
      <w:r>
        <w:rPr>
          <w:rFonts w:hint="default" w:ascii="Times New Roman" w:hAnsi="Times New Roman" w:eastAsia="方正仿宋_GBK" w:cs="Times New Roman"/>
          <w:spacing w:val="-3"/>
          <w:sz w:val="28"/>
          <w:szCs w:val="28"/>
          <w:lang w:eastAsia="zh-CN"/>
        </w:rPr>
        <w:t>例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eastAsia="zh-CN"/>
        </w:rPr>
        <w:t xml:space="preserve"> 100%</w:t>
      </w:r>
      <w:r>
        <w:rPr>
          <w:rFonts w:hint="default" w:ascii="Times New Roman" w:hAnsi="Times New Roman" w:eastAsia="方正仿宋_GBK" w:cs="Times New Roman"/>
          <w:spacing w:val="-20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招</w:t>
      </w:r>
      <w:r>
        <w:rPr>
          <w:rFonts w:hint="default" w:ascii="Times New Roman" w:hAnsi="Times New Roman" w:eastAsia="方正仿宋_GBK" w:cs="Times New Roman"/>
          <w:spacing w:val="-3"/>
          <w:sz w:val="28"/>
          <w:szCs w:val="28"/>
          <w:lang w:eastAsia="zh-CN"/>
        </w:rPr>
        <w:t>标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人</w:t>
      </w:r>
      <w:r>
        <w:rPr>
          <w:rFonts w:hint="default" w:ascii="Times New Roman" w:hAnsi="Times New Roman" w:eastAsia="方正仿宋_GBK" w:cs="Times New Roman"/>
          <w:spacing w:val="-3"/>
          <w:sz w:val="28"/>
          <w:szCs w:val="28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spacing w:val="-3"/>
          <w:sz w:val="28"/>
          <w:szCs w:val="28"/>
          <w:u w:val="single"/>
          <w:lang w:eastAsia="zh-CN"/>
        </w:rPr>
        <w:t>重庆南岸滨江路开发建设有限公司，</w:t>
      </w:r>
      <w:r>
        <w:rPr>
          <w:rFonts w:hint="default" w:ascii="Times New Roman" w:hAnsi="Times New Roman" w:eastAsia="方正仿宋_GBK" w:cs="Times New Roman"/>
          <w:spacing w:val="-3"/>
          <w:sz w:val="28"/>
          <w:szCs w:val="28"/>
          <w:u w:val="single"/>
          <w:lang w:val="en-US" w:eastAsia="zh-CN"/>
        </w:rPr>
        <w:t>比选</w:t>
      </w:r>
      <w:r>
        <w:rPr>
          <w:rFonts w:hint="default" w:ascii="Times New Roman" w:hAnsi="Times New Roman" w:eastAsia="方正仿宋_GBK" w:cs="Times New Roman"/>
          <w:spacing w:val="-3"/>
          <w:sz w:val="28"/>
          <w:szCs w:val="28"/>
          <w:u w:val="single"/>
          <w:lang w:eastAsia="zh-CN"/>
        </w:rPr>
        <w:t>代理人（项目管理公司）：重庆市建筑科学研究院有限公司</w:t>
      </w:r>
      <w:r>
        <w:rPr>
          <w:rFonts w:hint="default" w:ascii="Times New Roman" w:hAnsi="Times New Roman" w:eastAsia="方正仿宋_GBK" w:cs="Times New Roman"/>
          <w:spacing w:val="-22"/>
          <w:sz w:val="28"/>
          <w:szCs w:val="28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项目已具备招标条件，现公开选择满足条件的单位参加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eastAsia="zh-CN"/>
        </w:rPr>
        <w:t>龙门浩老街拓展区项目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房屋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  <w:lang w:val="en-US" w:eastAsia="zh-CN"/>
        </w:rPr>
        <w:t>施工质量</w:t>
      </w:r>
      <w:r>
        <w:rPr>
          <w:rFonts w:hint="default" w:ascii="Times New Roman" w:hAnsi="Times New Roman" w:eastAsia="方正仿宋_GBK" w:cs="Times New Roman"/>
          <w:sz w:val="28"/>
          <w:szCs w:val="28"/>
          <w:u w:val="single"/>
        </w:rPr>
        <w:t>安全性鉴定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竞争性比选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sz w:val="28"/>
          <w:szCs w:val="28"/>
        </w:rPr>
        <w:t>项目情况及比选范围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1、建设地点：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南岸区东水门大桥南桥头龙门浩老街拓展区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yellow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>2、工程概况：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  <w:lang w:val="en-US" w:eastAsia="zh-CN"/>
        </w:rPr>
        <w:t>总占地面积约35.7亩，总建筑面积约12000平方米，共计房屋约74栋，其中：整治修缮37栋，维修和加固建筑37栋。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>3、工期要求： 1个月。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>4、比选范围：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  <w:lang w:val="en-US" w:eastAsia="zh-CN"/>
        </w:rPr>
        <w:t>对所有房屋建筑、景观主体、边坡支护等施工质量进行结构安全鉴定，楼栋鉴定11985.34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  <w:lang w:val="en-US" w:eastAsia="zh-CN"/>
        </w:rPr>
        <w:t>㎡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  <w:lang w:val="en-US" w:eastAsia="zh-CN"/>
        </w:rPr>
        <w:t>，室外景观钢平台鉴定420.14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highlight w:val="none"/>
          <w:lang w:val="en-US" w:eastAsia="zh-CN"/>
        </w:rPr>
        <w:t>㎡</w:t>
      </w:r>
      <w:r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  <w:lang w:val="en-US" w:eastAsia="zh-CN"/>
        </w:rPr>
        <w:t>挡墙鉴定174.3m</w:t>
      </w:r>
      <w:r>
        <w:rPr>
          <w:rFonts w:hint="eastAsia" w:eastAsia="方正仿宋_GBK" w:cs="Times New Roman"/>
          <w:color w:val="auto"/>
          <w:sz w:val="28"/>
          <w:szCs w:val="28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  <w:lang w:val="en-US" w:eastAsia="zh-CN"/>
        </w:rPr>
        <w:t>具体检测内容详见第三部分施工质量鉴定内容清单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b/>
          <w:color w:val="auto"/>
          <w:sz w:val="28"/>
          <w:szCs w:val="28"/>
          <w:highlight w:val="none"/>
        </w:rPr>
        <w:t xml:space="preserve">资格要求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>具有独立承担民事责任能力、独立法人资格的企业。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须具备建设行政主管部门颁发的建设工程质量检测机构资质证书，检测范围包括但不限于：地基基础检测、主体结构工程现场检测、建设工程质量鉴定等。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  <w:t>3、须具有省（直辖市）级及以上质量技术监督部门颁发的CMA资质认定证书。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信誉要求：具有良好的商业信誉和健全的财务会计制度；有依法缴纳税收和社会保障金的良好记录；具有履行合同所必需的设备和专业技术能力；参加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比选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活动近三年内，在经营活动中没有重大违法记录；法律、行政法规规定的其他条件。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8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4、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本次比选不接受联合体。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4"/>
          <w:szCs w:val="24"/>
          <w:highlight w:val="none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4"/>
          <w:szCs w:val="24"/>
          <w:highlight w:val="none"/>
        </w:rPr>
        <w:t>、比选文件的获取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5" w:firstLineChars="202"/>
        <w:jc w:val="both"/>
        <w:textAlignment w:val="auto"/>
        <w:rPr>
          <w:rFonts w:hint="eastAsia" w:eastAsia="方正仿宋_GBK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eastAsia="方正仿宋_GBK" w:cs="Times New Roman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1、本项目采取报名的方式获取竞标资格，凡有意参加比选者于2022年7月13日至7月15日上午9：00至12：00，下午14：00至16：00(法定公休日、法定节假日除外)，持有效的营业执照复印件、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建设行政主管部门颁发的建设工程质量检测机构资质证书</w:t>
      </w:r>
      <w:r>
        <w:rPr>
          <w:rFonts w:hint="eastAsia" w:eastAsia="方正仿宋_GBK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复印件、单位授权委托书或介绍信至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highlight w:val="none"/>
        </w:rPr>
        <w:t>重庆市渝中区长江二路221号</w:t>
      </w:r>
      <w:r>
        <w:rPr>
          <w:rFonts w:hint="eastAsia" w:eastAsia="方正仿宋_GBK" w:cs="Times New Roman"/>
          <w:color w:val="auto"/>
          <w:sz w:val="28"/>
          <w:szCs w:val="28"/>
          <w:highlight w:val="none"/>
          <w:lang w:val="en-US" w:eastAsia="zh-CN"/>
        </w:rPr>
        <w:t>14楼报名及购买比选文件。联系人：欧老师，联系电话：13983800498。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5" w:firstLineChars="202"/>
        <w:jc w:val="both"/>
        <w:textAlignment w:val="auto"/>
        <w:rPr>
          <w:rFonts w:hint="eastAsia" w:eastAsia="方正仿宋_GBK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eastAsia="方正仿宋_GBK" w:cs="Times New Roman"/>
          <w:color w:val="auto"/>
          <w:sz w:val="28"/>
          <w:szCs w:val="28"/>
          <w:highlight w:val="none"/>
          <w:lang w:val="en-US" w:eastAsia="zh-CN"/>
        </w:rPr>
        <w:t>2、竞争性比选文件售价：人民币500元/套（售后不退），竞选人在购买竞争性比选文件时一次性向比选代理机构缴纳。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5" w:firstLineChars="202"/>
        <w:jc w:val="both"/>
        <w:textAlignment w:val="auto"/>
        <w:rPr>
          <w:rFonts w:hint="eastAsia" w:eastAsia="方正仿宋_GBK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eastAsia="方正仿宋_GBK" w:cs="Times New Roman"/>
          <w:color w:val="auto"/>
          <w:sz w:val="28"/>
          <w:szCs w:val="28"/>
          <w:highlight w:val="none"/>
          <w:lang w:val="en-US" w:eastAsia="zh-CN"/>
        </w:rPr>
        <w:t>3、竞选人若对本项目竞争性比选文件、清单、图纸等有疑问，需要提出疑问的，请在 2022 年  7  月18日  17  时 00  分（北京时间）前以书面或传真或邮件的方式向比选人或者比选代理机构提出，逾期不予受理。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eastAsia="方正仿宋_GBK" w:cs="Times New Roman"/>
          <w:color w:val="auto"/>
          <w:sz w:val="28"/>
          <w:szCs w:val="28"/>
          <w:highlight w:val="none"/>
          <w:lang w:val="en-US" w:eastAsia="zh-CN"/>
        </w:rPr>
        <w:t>　　4、 比选澄清文件应于 2022 年  7  月19日17时 00 分（北京时间）在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重庆市建筑科学研究院有限公司官网（http://www.cqsjky.com/)</w:t>
      </w:r>
      <w:r>
        <w:rPr>
          <w:rFonts w:hint="eastAsia" w:eastAsia="方正仿宋_GBK" w:cs="Times New Roman"/>
          <w:color w:val="auto"/>
          <w:sz w:val="28"/>
          <w:szCs w:val="28"/>
          <w:highlight w:val="none"/>
          <w:lang w:val="en-US" w:eastAsia="zh-CN"/>
        </w:rPr>
        <w:t>发布，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不管下载与否，都视为潜在比选人全部知晓</w:t>
      </w:r>
      <w:r>
        <w:rPr>
          <w:rFonts w:hint="eastAsia" w:eastAsia="方正仿宋_GBK" w:cs="Times New Roman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澄清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内容</w:t>
      </w:r>
      <w:r>
        <w:rPr>
          <w:rFonts w:hint="eastAsia" w:eastAsia="方正仿宋_GBK" w:cs="Times New Roman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由此产生的一切后果由比选人自负。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  <w:highlight w:val="none"/>
        </w:rPr>
        <w:t>、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  <w:highlight w:val="none"/>
          <w:lang w:eastAsia="zh-CN"/>
        </w:rPr>
        <w:t>竞争性比选文件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  <w:highlight w:val="none"/>
        </w:rPr>
        <w:t>的递交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5" w:firstLineChars="177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highlight w:val="none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highlight w:val="none"/>
          <w:lang w:eastAsia="zh-CN"/>
        </w:rPr>
        <w:t>竞争性比选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highlight w:val="none"/>
        </w:rPr>
        <w:t>文件递交时间：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u w:val="single"/>
        </w:rPr>
        <w:t>202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u w:val="single"/>
        </w:rPr>
        <w:t>年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 xml:space="preserve"> 7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u w:val="single"/>
          <w:lang w:eastAsia="zh-CN"/>
        </w:rPr>
        <w:t>月</w:t>
      </w:r>
      <w:r>
        <w:rPr>
          <w:rFonts w:hint="eastAsia" w:eastAsia="方正仿宋_GBK" w:cs="Times New Roman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u w:val="single"/>
        </w:rPr>
        <w:t>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u w:val="single"/>
        </w:rPr>
        <w:t>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u w:val="single"/>
        </w:rPr>
        <w:t>0分至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u w:val="single"/>
        </w:rPr>
        <w:t>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u w:val="single"/>
          <w:lang w:val="en-US" w:eastAsia="zh-CN"/>
        </w:rPr>
        <w:t>00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highlight w:val="none"/>
          <w:u w:val="single"/>
        </w:rPr>
        <w:t>分止（北京时间）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highlight w:val="none"/>
          <w:u w:val="singl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5" w:firstLineChars="177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highlight w:val="none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highlight w:val="none"/>
          <w:lang w:eastAsia="zh-CN"/>
        </w:rPr>
        <w:t>竞争性比选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highlight w:val="none"/>
          <w:lang w:val="en-US" w:eastAsia="zh-CN"/>
        </w:rPr>
        <w:t>文件递交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highlight w:val="none"/>
        </w:rPr>
        <w:t>地点：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highlight w:val="none"/>
          <w:u w:val="single"/>
          <w:lang w:eastAsia="zh-CN"/>
        </w:rPr>
        <w:t>重庆市南岸区南滨路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highlight w:val="none"/>
          <w:u w:val="single"/>
          <w:lang w:val="en-US" w:eastAsia="zh-CN"/>
        </w:rPr>
        <w:t>162号2栋重庆能源大厦712会议室。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95" w:firstLineChars="177"/>
        <w:jc w:val="both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highlight w:val="none"/>
          <w:lang w:val="en-US" w:eastAsia="zh-CN"/>
        </w:rPr>
        <w:t>3、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highlight w:val="none"/>
        </w:rPr>
        <w:t>逾期送达或者不按照要求密封的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highlight w:val="none"/>
          <w:lang w:eastAsia="zh-CN"/>
        </w:rPr>
        <w:t>比选文</w:t>
      </w:r>
      <w:bookmarkStart w:id="2" w:name="_GoBack"/>
      <w:bookmarkEnd w:id="2"/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highlight w:val="none"/>
          <w:lang w:eastAsia="zh-CN"/>
        </w:rPr>
        <w:t>件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highlight w:val="none"/>
        </w:rPr>
        <w:t>，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highlight w:val="none"/>
          <w:lang w:eastAsia="zh-CN"/>
        </w:rPr>
        <w:t>代理人</w:t>
      </w:r>
      <w:r>
        <w:rPr>
          <w:rFonts w:hint="default" w:ascii="Times New Roman" w:hAnsi="Times New Roman" w:eastAsia="方正仿宋_GBK" w:cs="Times New Roman"/>
          <w:bCs/>
          <w:color w:val="auto"/>
          <w:kern w:val="0"/>
          <w:sz w:val="28"/>
          <w:szCs w:val="28"/>
          <w:highlight w:val="none"/>
        </w:rPr>
        <w:t>应当拒收。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  <w:highlight w:val="none"/>
          <w:lang w:val="en-US" w:eastAsia="zh-CN"/>
        </w:rPr>
        <w:t>五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28"/>
          <w:szCs w:val="28"/>
          <w:highlight w:val="none"/>
          <w:lang w:eastAsia="zh-CN"/>
        </w:rPr>
        <w:t>、联系方式</w:t>
      </w:r>
    </w:p>
    <w:tbl>
      <w:tblPr>
        <w:tblStyle w:val="8"/>
        <w:tblW w:w="10076" w:type="dxa"/>
        <w:tblInd w:w="-4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2"/>
        <w:gridCol w:w="5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87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比选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eastAsia="zh-CN"/>
              </w:rPr>
              <w:t>人：重庆南岸滨江路开发建设有限公司</w:t>
            </w:r>
          </w:p>
        </w:tc>
        <w:tc>
          <w:tcPr>
            <w:tcW w:w="52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  <w:t>比选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eastAsia="zh-CN"/>
              </w:rPr>
              <w:t>代理人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  <w:t>：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  <w:highlight w:val="none"/>
              </w:rPr>
              <w:t>重庆市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  <w:t>建筑科学研究院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eastAsia="zh-CN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7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eastAsia="zh-CN"/>
              </w:rPr>
              <w:t>地址：重庆市南岸区海棠晓月A区3号1单元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eastAsia="zh-CN"/>
              </w:rPr>
              <w:t>联系人：张老师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eastAsia="zh-CN"/>
              </w:rPr>
              <w:t xml:space="preserve">电话：023-62925446 </w:t>
            </w:r>
          </w:p>
        </w:tc>
        <w:tc>
          <w:tcPr>
            <w:tcW w:w="52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  <w:t>地址：重庆市渝中区长江二路221号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  <w:t>联系人：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欧</w:t>
            </w:r>
            <w:r>
              <w:rPr>
                <w:rFonts w:hint="default" w:ascii="Times New Roman" w:hAnsi="Times New Roman" w:eastAsia="方正仿宋_GBK" w:cs="Times New Roman"/>
                <w:bCs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  <w:t>电话：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13983800498</w:t>
            </w:r>
          </w:p>
        </w:tc>
      </w:tr>
    </w:tbl>
    <w:p/>
    <w:sectPr>
      <w:footerReference r:id="rId3" w:type="default"/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535"/>
        <w:tab w:val="clear" w:pos="4153"/>
        <w:tab w:val="clear" w:pos="8306"/>
      </w:tabs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7B4FF2"/>
    <w:multiLevelType w:val="multilevel"/>
    <w:tmpl w:val="277B4FF2"/>
    <w:lvl w:ilvl="0" w:tentative="0">
      <w:start w:val="1"/>
      <w:numFmt w:val="japaneseCounting"/>
      <w:lvlText w:val="%1、"/>
      <w:lvlJc w:val="left"/>
      <w:pPr>
        <w:ind w:left="1429" w:hanging="720"/>
      </w:pPr>
      <w:rPr>
        <w:rFonts w:hint="default" w:cs="Times New Roman"/>
        <w:b/>
        <w:color w:val="auto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ZmQ5Mzg2Nzk1ZGVmMjNhZjRlYjU4OGY2ZmFlYTcifQ=="/>
  </w:docVars>
  <w:rsids>
    <w:rsidRoot w:val="00000000"/>
    <w:rsid w:val="24903697"/>
    <w:rsid w:val="51BE6DDD"/>
    <w:rsid w:val="56325594"/>
    <w:rsid w:val="7108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1"/>
    <w:basedOn w:val="1"/>
    <w:next w:val="6"/>
    <w:qFormat/>
    <w:uiPriority w:val="0"/>
    <w:pPr>
      <w:jc w:val="center"/>
    </w:pPr>
    <w:rPr>
      <w:b/>
      <w:bCs/>
      <w:sz w:val="36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1312</Words>
  <Characters>1448</Characters>
  <Lines>0</Lines>
  <Paragraphs>0</Paragraphs>
  <TotalTime>8</TotalTime>
  <ScaleCrop>false</ScaleCrop>
  <LinksUpToDate>false</LinksUpToDate>
  <CharactersWithSpaces>1479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2022-07-13T04:37:00Z</dcterms:created>
  <dc:creator>Administrator</dc:creator>
  <cp:lastModifiedBy>欧德利</cp:lastModifiedBy>
  <cp:lastPrinted>2022-07-13T06:00:00Z</cp:lastPrinted>
  <dcterms:modified xsi:type="dcterms:W3CDTF">2022-07-13T09:49:37Z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275CB8F1CE164887816471D840C91F16</vt:lpwstr>
  </property>
</Properties>
</file>